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5301" w14:textId="77777777" w:rsidR="001E1C64" w:rsidRPr="001E1C64" w:rsidRDefault="001E1C64" w:rsidP="001E1C64">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Technical Summary: Architecture &amp; Features of the Royalty Calculation Script</w:t>
      </w:r>
    </w:p>
    <w:p w14:paraId="0AF44BFF" w14:textId="77777777" w:rsidR="001E1C64" w:rsidRPr="001E1C64" w:rsidRDefault="001E1C64" w:rsidP="001E1C64">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This document summarizes the technical characteristics of the Python script for royalty calculation.</w:t>
      </w:r>
    </w:p>
    <w:p w14:paraId="59142836" w14:textId="77777777" w:rsidR="001E1C64" w:rsidRPr="001E1C64" w:rsidRDefault="001E1C64" w:rsidP="001E1C64">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Project Goal:</w:t>
      </w:r>
      <w:r w:rsidRPr="001E1C64">
        <w:rPr>
          <w:rFonts w:ascii="Arial" w:eastAsia="Times New Roman" w:hAnsi="Arial" w:cs="Arial"/>
          <w:color w:val="424242"/>
          <w:kern w:val="0"/>
          <w:sz w:val="24"/>
          <w:szCs w:val="24"/>
          <w:lang w:val="en-US" w:eastAsia="de-DE"/>
          <w14:ligatures w14:val="none"/>
        </w:rPr>
        <w:t xml:space="preserve"> A modular Python script with a </w:t>
      </w:r>
      <w:proofErr w:type="spellStart"/>
      <w:r w:rsidRPr="001E1C64">
        <w:rPr>
          <w:rFonts w:ascii="Arial" w:eastAsia="Times New Roman" w:hAnsi="Arial" w:cs="Arial"/>
          <w:color w:val="424242"/>
          <w:kern w:val="0"/>
          <w:sz w:val="24"/>
          <w:szCs w:val="24"/>
          <w:lang w:val="en-US" w:eastAsia="de-DE"/>
          <w14:ligatures w14:val="none"/>
        </w:rPr>
        <w:t>Tkinter</w:t>
      </w:r>
      <w:proofErr w:type="spellEnd"/>
      <w:r w:rsidRPr="001E1C64">
        <w:rPr>
          <w:rFonts w:ascii="Arial" w:eastAsia="Times New Roman" w:hAnsi="Arial" w:cs="Arial"/>
          <w:color w:val="424242"/>
          <w:kern w:val="0"/>
          <w:sz w:val="24"/>
          <w:szCs w:val="24"/>
          <w:lang w:val="en-US" w:eastAsia="de-DE"/>
          <w14:ligatures w14:val="none"/>
        </w:rPr>
        <w:t xml:space="preserve"> GUI that processes quarterly sales statements and generates royalty statements for third-party licensors ("</w:t>
      </w:r>
      <w:proofErr w:type="spellStart"/>
      <w:r w:rsidRPr="001E1C64">
        <w:rPr>
          <w:rFonts w:ascii="Arial" w:eastAsia="Times New Roman" w:hAnsi="Arial" w:cs="Arial"/>
          <w:color w:val="424242"/>
          <w:kern w:val="0"/>
          <w:sz w:val="24"/>
          <w:szCs w:val="24"/>
          <w:lang w:val="en-US" w:eastAsia="de-DE"/>
          <w14:ligatures w14:val="none"/>
        </w:rPr>
        <w:t>Royaltors</w:t>
      </w:r>
      <w:proofErr w:type="spellEnd"/>
      <w:r w:rsidRPr="001E1C64">
        <w:rPr>
          <w:rFonts w:ascii="Arial" w:eastAsia="Times New Roman" w:hAnsi="Arial" w:cs="Arial"/>
          <w:color w:val="424242"/>
          <w:kern w:val="0"/>
          <w:sz w:val="24"/>
          <w:szCs w:val="24"/>
          <w:lang w:val="en-US" w:eastAsia="de-DE"/>
          <w14:ligatures w14:val="none"/>
        </w:rPr>
        <w:t>").</w:t>
      </w:r>
    </w:p>
    <w:p w14:paraId="755790C2" w14:textId="77777777" w:rsidR="001E1C64" w:rsidRPr="001E1C64" w:rsidRDefault="001E1C64" w:rsidP="001E1C64">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Core Architecture:</w:t>
      </w:r>
      <w:r w:rsidRPr="001E1C64">
        <w:rPr>
          <w:rFonts w:ascii="Arial" w:eastAsia="Times New Roman" w:hAnsi="Arial" w:cs="Arial"/>
          <w:color w:val="424242"/>
          <w:kern w:val="0"/>
          <w:sz w:val="24"/>
          <w:szCs w:val="24"/>
          <w:lang w:val="en-US" w:eastAsia="de-DE"/>
          <w14:ligatures w14:val="none"/>
        </w:rPr>
        <w:t> The script is entirely controlled by the central </w:t>
      </w:r>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CLIENT_CONFIG</w:t>
      </w:r>
      <w:r w:rsidRPr="001E1C64">
        <w:rPr>
          <w:rFonts w:ascii="Arial" w:eastAsia="Times New Roman" w:hAnsi="Arial" w:cs="Arial"/>
          <w:color w:val="424242"/>
          <w:kern w:val="0"/>
          <w:sz w:val="24"/>
          <w:szCs w:val="24"/>
          <w:lang w:val="en-US" w:eastAsia="de-DE"/>
          <w14:ligatures w14:val="none"/>
        </w:rPr>
        <w:t> variable. Each client is an entry in this dictionary and defines its own file paths, column mappings, file formats, and logic flags. This design principle allows for maximum flexibility and easy extensibility for new clients, often without changes to the core logic.</w:t>
      </w:r>
    </w:p>
    <w:p w14:paraId="3B5946F5" w14:textId="77777777" w:rsidR="001E1C64" w:rsidRPr="001E1C64" w:rsidRDefault="001E1C64" w:rsidP="001E1C64">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120" w:line="240" w:lineRule="auto"/>
        <w:rPr>
          <w:rFonts w:ascii="Arial" w:eastAsia="Times New Roman" w:hAnsi="Arial" w:cs="Arial"/>
          <w:color w:val="424242"/>
          <w:kern w:val="0"/>
          <w:sz w:val="24"/>
          <w:szCs w:val="24"/>
          <w:lang w:eastAsia="de-DE"/>
          <w14:ligatures w14:val="none"/>
        </w:rPr>
      </w:pPr>
      <w:r w:rsidRPr="001E1C64">
        <w:rPr>
          <w:rFonts w:ascii="Arial" w:eastAsia="Times New Roman" w:hAnsi="Arial" w:cs="Arial"/>
          <w:b/>
          <w:bCs/>
          <w:color w:val="111827"/>
          <w:kern w:val="0"/>
          <w:sz w:val="24"/>
          <w:szCs w:val="24"/>
          <w:bdr w:val="single" w:sz="2" w:space="0" w:color="E3E3E3" w:frame="1"/>
          <w:lang w:eastAsia="de-DE"/>
          <w14:ligatures w14:val="none"/>
        </w:rPr>
        <w:t>Data Model:</w:t>
      </w:r>
    </w:p>
    <w:p w14:paraId="6B03EECE" w14:textId="77777777" w:rsidR="001E1C64" w:rsidRPr="001E1C64" w:rsidRDefault="001E1C64" w:rsidP="001E1C64">
      <w:pPr>
        <w:numPr>
          <w:ilvl w:val="1"/>
          <w:numId w:val="1"/>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Client Statement (.xlsx, .csv, .txt):</w:t>
      </w:r>
      <w:r w:rsidRPr="001E1C64">
        <w:rPr>
          <w:rFonts w:ascii="Arial" w:eastAsia="Times New Roman" w:hAnsi="Arial" w:cs="Arial"/>
          <w:color w:val="424242"/>
          <w:kern w:val="0"/>
          <w:sz w:val="24"/>
          <w:szCs w:val="24"/>
          <w:lang w:val="en-US" w:eastAsia="de-DE"/>
          <w14:ligatures w14:val="none"/>
        </w:rPr>
        <w:t> Contains sales data. Supports merging multiple files via </w:t>
      </w:r>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w:t>
      </w:r>
      <w:r w:rsidRPr="001E1C64">
        <w:rPr>
          <w:rFonts w:ascii="Arial" w:eastAsia="Times New Roman" w:hAnsi="Arial" w:cs="Arial"/>
          <w:color w:val="424242"/>
          <w:kern w:val="0"/>
          <w:sz w:val="24"/>
          <w:szCs w:val="24"/>
          <w:lang w:val="en-US" w:eastAsia="de-DE"/>
          <w14:ligatures w14:val="none"/>
        </w:rPr>
        <w:t> in the file name.</w:t>
      </w:r>
    </w:p>
    <w:p w14:paraId="10ED51D2" w14:textId="77777777" w:rsidR="001E1C64" w:rsidRPr="001E1C64" w:rsidRDefault="001E1C64" w:rsidP="001E1C64">
      <w:pPr>
        <w:numPr>
          <w:ilvl w:val="1"/>
          <w:numId w:val="1"/>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CDM_Royalties_Basis.xlsx:</w:t>
      </w:r>
      <w:r w:rsidRPr="001E1C64">
        <w:rPr>
          <w:rFonts w:ascii="Arial" w:eastAsia="Times New Roman" w:hAnsi="Arial" w:cs="Arial"/>
          <w:color w:val="424242"/>
          <w:kern w:val="0"/>
          <w:sz w:val="24"/>
          <w:szCs w:val="24"/>
          <w:lang w:val="en-US" w:eastAsia="de-DE"/>
          <w14:ligatures w14:val="none"/>
        </w:rPr>
        <w:t xml:space="preserve"> Global master data (ISRC -&gt; </w:t>
      </w:r>
      <w:proofErr w:type="spellStart"/>
      <w:r w:rsidRPr="001E1C64">
        <w:rPr>
          <w:rFonts w:ascii="Arial" w:eastAsia="Times New Roman" w:hAnsi="Arial" w:cs="Arial"/>
          <w:color w:val="424242"/>
          <w:kern w:val="0"/>
          <w:sz w:val="24"/>
          <w:szCs w:val="24"/>
          <w:lang w:val="en-US" w:eastAsia="de-DE"/>
          <w14:ligatures w14:val="none"/>
        </w:rPr>
        <w:t>Royaltor</w:t>
      </w:r>
      <w:proofErr w:type="spellEnd"/>
      <w:r w:rsidRPr="001E1C64">
        <w:rPr>
          <w:rFonts w:ascii="Arial" w:eastAsia="Times New Roman" w:hAnsi="Arial" w:cs="Arial"/>
          <w:color w:val="424242"/>
          <w:kern w:val="0"/>
          <w:sz w:val="24"/>
          <w:szCs w:val="24"/>
          <w:lang w:val="en-US" w:eastAsia="de-DE"/>
          <w14:ligatures w14:val="none"/>
        </w:rPr>
        <w:t>, Royalty Rate, clean metadata).</w:t>
      </w:r>
    </w:p>
    <w:p w14:paraId="7B6897DD" w14:textId="77777777" w:rsidR="001E1C64" w:rsidRPr="001E1C64" w:rsidRDefault="001E1C64" w:rsidP="001E1C64">
      <w:pPr>
        <w:numPr>
          <w:ilvl w:val="1"/>
          <w:numId w:val="1"/>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[Client]_MasterFileData.xlsx:</w:t>
      </w:r>
      <w:r w:rsidRPr="001E1C64">
        <w:rPr>
          <w:rFonts w:ascii="Arial" w:eastAsia="Times New Roman" w:hAnsi="Arial" w:cs="Arial"/>
          <w:color w:val="424242"/>
          <w:kern w:val="0"/>
          <w:sz w:val="24"/>
          <w:szCs w:val="24"/>
          <w:lang w:val="en-US" w:eastAsia="de-DE"/>
          <w14:ligatures w14:val="none"/>
        </w:rPr>
        <w:t> Optional, client-specific master data for breaking down albums at the ISRC level.</w:t>
      </w:r>
    </w:p>
    <w:p w14:paraId="7696EA6D" w14:textId="77777777" w:rsidR="001E1C64" w:rsidRPr="001E1C64" w:rsidRDefault="001E1C64" w:rsidP="001E1C64">
      <w:pPr>
        <w:numPr>
          <w:ilvl w:val="1"/>
          <w:numId w:val="1"/>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[Client]_LumpSumDistribution.xlsx:</w:t>
      </w:r>
      <w:r w:rsidRPr="001E1C64">
        <w:rPr>
          <w:rFonts w:ascii="Arial" w:eastAsia="Times New Roman" w:hAnsi="Arial" w:cs="Arial"/>
          <w:color w:val="424242"/>
          <w:kern w:val="0"/>
          <w:sz w:val="24"/>
          <w:szCs w:val="24"/>
          <w:lang w:val="en-US" w:eastAsia="de-DE"/>
          <w14:ligatures w14:val="none"/>
        </w:rPr>
        <w:t> Optional file that serves as a distribution basis for lump-sum payments.</w:t>
      </w:r>
    </w:p>
    <w:p w14:paraId="16AC3C3B" w14:textId="77777777" w:rsidR="001E1C64" w:rsidRPr="001E1C64" w:rsidRDefault="001E1C64" w:rsidP="001E1C64">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120" w:line="240" w:lineRule="auto"/>
        <w:rPr>
          <w:rFonts w:ascii="Arial" w:eastAsia="Times New Roman" w:hAnsi="Arial" w:cs="Arial"/>
          <w:color w:val="424242"/>
          <w:kern w:val="0"/>
          <w:sz w:val="24"/>
          <w:szCs w:val="24"/>
          <w:lang w:eastAsia="de-DE"/>
          <w14:ligatures w14:val="none"/>
        </w:rPr>
      </w:pPr>
      <w:r w:rsidRPr="001E1C64">
        <w:rPr>
          <w:rFonts w:ascii="Arial" w:eastAsia="Times New Roman" w:hAnsi="Arial" w:cs="Arial"/>
          <w:b/>
          <w:bCs/>
          <w:color w:val="111827"/>
          <w:kern w:val="0"/>
          <w:sz w:val="24"/>
          <w:szCs w:val="24"/>
          <w:bdr w:val="single" w:sz="2" w:space="0" w:color="E3E3E3" w:frame="1"/>
          <w:lang w:eastAsia="de-DE"/>
          <w14:ligatures w14:val="none"/>
        </w:rPr>
        <w:t xml:space="preserve">Key </w:t>
      </w:r>
      <w:proofErr w:type="spellStart"/>
      <w:r w:rsidRPr="001E1C64">
        <w:rPr>
          <w:rFonts w:ascii="Arial" w:eastAsia="Times New Roman" w:hAnsi="Arial" w:cs="Arial"/>
          <w:b/>
          <w:bCs/>
          <w:color w:val="111827"/>
          <w:kern w:val="0"/>
          <w:sz w:val="24"/>
          <w:szCs w:val="24"/>
          <w:bdr w:val="single" w:sz="2" w:space="0" w:color="E3E3E3" w:frame="1"/>
          <w:lang w:eastAsia="de-DE"/>
          <w14:ligatures w14:val="none"/>
        </w:rPr>
        <w:t>Functionalities</w:t>
      </w:r>
      <w:proofErr w:type="spellEnd"/>
      <w:r w:rsidRPr="001E1C64">
        <w:rPr>
          <w:rFonts w:ascii="Arial" w:eastAsia="Times New Roman" w:hAnsi="Arial" w:cs="Arial"/>
          <w:b/>
          <w:bCs/>
          <w:color w:val="111827"/>
          <w:kern w:val="0"/>
          <w:sz w:val="24"/>
          <w:szCs w:val="24"/>
          <w:bdr w:val="single" w:sz="2" w:space="0" w:color="E3E3E3" w:frame="1"/>
          <w:lang w:eastAsia="de-DE"/>
          <w14:ligatures w14:val="none"/>
        </w:rPr>
        <w:t xml:space="preserve"> &amp; Features:</w:t>
      </w:r>
    </w:p>
    <w:p w14:paraId="688F54CF"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Configuration-Driven Processing:</w:t>
      </w:r>
      <w:r w:rsidRPr="001E1C64">
        <w:rPr>
          <w:rFonts w:ascii="Arial" w:eastAsia="Times New Roman" w:hAnsi="Arial" w:cs="Arial"/>
          <w:color w:val="424242"/>
          <w:kern w:val="0"/>
          <w:sz w:val="24"/>
          <w:szCs w:val="24"/>
          <w:lang w:val="en-US" w:eastAsia="de-DE"/>
          <w14:ligatures w14:val="none"/>
        </w:rPr>
        <w:t> Nearly all aspects of processing are defined per client in </w:t>
      </w:r>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CLIENT_CONFIG</w:t>
      </w:r>
      <w:r w:rsidRPr="001E1C64">
        <w:rPr>
          <w:rFonts w:ascii="Arial" w:eastAsia="Times New Roman" w:hAnsi="Arial" w:cs="Arial"/>
          <w:color w:val="424242"/>
          <w:kern w:val="0"/>
          <w:sz w:val="24"/>
          <w:szCs w:val="24"/>
          <w:lang w:val="en-US" w:eastAsia="de-DE"/>
          <w14:ligatures w14:val="none"/>
        </w:rPr>
        <w:t>, minimizing code changes for new clients.</w:t>
      </w:r>
    </w:p>
    <w:p w14:paraId="5DB57DF0"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Flexible Loading Routines:</w:t>
      </w:r>
      <w:r w:rsidRPr="001E1C64">
        <w:rPr>
          <w:rFonts w:ascii="Arial" w:eastAsia="Times New Roman" w:hAnsi="Arial" w:cs="Arial"/>
          <w:color w:val="424242"/>
          <w:kern w:val="0"/>
          <w:sz w:val="24"/>
          <w:szCs w:val="24"/>
          <w:lang w:val="en-US" w:eastAsia="de-DE"/>
          <w14:ligatures w14:val="none"/>
        </w:rPr>
        <w:t> Processes various formats:</w:t>
      </w:r>
    </w:p>
    <w:p w14:paraId="16AD39E1"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Standard Excel (.xlsx, .</w:t>
      </w:r>
      <w:proofErr w:type="spellStart"/>
      <w:r w:rsidRPr="001E1C64">
        <w:rPr>
          <w:rFonts w:ascii="Arial" w:eastAsia="Times New Roman" w:hAnsi="Arial" w:cs="Arial"/>
          <w:color w:val="424242"/>
          <w:kern w:val="0"/>
          <w:sz w:val="24"/>
          <w:szCs w:val="24"/>
          <w:lang w:val="en-US" w:eastAsia="de-DE"/>
          <w14:ligatures w14:val="none"/>
        </w:rPr>
        <w:t>xls</w:t>
      </w:r>
      <w:proofErr w:type="spellEnd"/>
      <w:r w:rsidRPr="001E1C64">
        <w:rPr>
          <w:rFonts w:ascii="Arial" w:eastAsia="Times New Roman" w:hAnsi="Arial" w:cs="Arial"/>
          <w:color w:val="424242"/>
          <w:kern w:val="0"/>
          <w:sz w:val="24"/>
          <w:szCs w:val="24"/>
          <w:lang w:val="en-US" w:eastAsia="de-DE"/>
          <w14:ligatures w14:val="none"/>
        </w:rPr>
        <w:t>) and CSV files.</w:t>
      </w:r>
    </w:p>
    <w:p w14:paraId="0E92307A"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Text files with arbitrary delimiters (e.g., .txt with tab).</w:t>
      </w:r>
    </w:p>
    <w:p w14:paraId="195A7397"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Complex Excel formats with multiple headers (loader </w:t>
      </w: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smith_co_multi_header</w:t>
      </w:r>
      <w:proofErr w:type="spellEnd"/>
      <w:r w:rsidRPr="001E1C64">
        <w:rPr>
          <w:rFonts w:ascii="Arial" w:eastAsia="Times New Roman" w:hAnsi="Arial" w:cs="Arial"/>
          <w:color w:val="424242"/>
          <w:kern w:val="0"/>
          <w:sz w:val="24"/>
          <w:szCs w:val="24"/>
          <w:lang w:val="en-US" w:eastAsia="de-DE"/>
          <w14:ligatures w14:val="none"/>
        </w:rPr>
        <w:t>).</w:t>
      </w:r>
    </w:p>
    <w:p w14:paraId="3E113555"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Excel files internally saved as text files (e.g., for "</w:t>
      </w:r>
      <w:proofErr w:type="spellStart"/>
      <w:r w:rsidRPr="001E1C64">
        <w:rPr>
          <w:rFonts w:ascii="Arial" w:eastAsia="Times New Roman" w:hAnsi="Arial" w:cs="Arial"/>
          <w:color w:val="424242"/>
          <w:kern w:val="0"/>
          <w:sz w:val="24"/>
          <w:szCs w:val="24"/>
          <w:lang w:val="en-US" w:eastAsia="de-DE"/>
          <w14:ligatures w14:val="none"/>
        </w:rPr>
        <w:t>Hit_Music</w:t>
      </w:r>
      <w:proofErr w:type="spellEnd"/>
      <w:r w:rsidRPr="001E1C64">
        <w:rPr>
          <w:rFonts w:ascii="Arial" w:eastAsia="Times New Roman" w:hAnsi="Arial" w:cs="Arial"/>
          <w:color w:val="424242"/>
          <w:kern w:val="0"/>
          <w:sz w:val="24"/>
          <w:szCs w:val="24"/>
          <w:lang w:val="en-US" w:eastAsia="de-DE"/>
          <w14:ligatures w14:val="none"/>
        </w:rPr>
        <w:t>").</w:t>
      </w:r>
    </w:p>
    <w:p w14:paraId="3537D0AD"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Robust Album Breakdown:</w:t>
      </w:r>
      <w:r w:rsidRPr="001E1C64">
        <w:rPr>
          <w:rFonts w:ascii="Arial" w:eastAsia="Times New Roman" w:hAnsi="Arial" w:cs="Arial"/>
          <w:color w:val="424242"/>
          <w:kern w:val="0"/>
          <w:sz w:val="24"/>
          <w:szCs w:val="24"/>
          <w:lang w:val="en-US" w:eastAsia="de-DE"/>
          <w14:ligatures w14:val="none"/>
        </w:rPr>
        <w:t> Can distribute album revenues to the contained ISRCs. Album detection is flexible and controlled via </w:t>
      </w: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logic_flags</w:t>
      </w:r>
      <w:proofErr w:type="spellEnd"/>
      <w:r w:rsidRPr="001E1C64">
        <w:rPr>
          <w:rFonts w:ascii="Arial" w:eastAsia="Times New Roman" w:hAnsi="Arial" w:cs="Arial"/>
          <w:color w:val="424242"/>
          <w:kern w:val="0"/>
          <w:sz w:val="24"/>
          <w:szCs w:val="24"/>
          <w:lang w:val="en-US" w:eastAsia="de-DE"/>
          <w14:ligatures w14:val="none"/>
        </w:rPr>
        <w:t> (e.g., via a column value like "Product", a list of values ["DA", "SB"], or by an empty ISRC field).</w:t>
      </w:r>
    </w:p>
    <w:p w14:paraId="394D4BAC"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Lump-Sum Processing:</w:t>
      </w:r>
      <w:r w:rsidRPr="001E1C64">
        <w:rPr>
          <w:rFonts w:ascii="Arial" w:eastAsia="Times New Roman" w:hAnsi="Arial" w:cs="Arial"/>
          <w:color w:val="424242"/>
          <w:kern w:val="0"/>
          <w:sz w:val="24"/>
          <w:szCs w:val="24"/>
          <w:lang w:val="en-US" w:eastAsia="de-DE"/>
          <w14:ligatures w14:val="none"/>
        </w:rPr>
        <w:t> A universal function activated via a GUI field, which optionally uses either the </w:t>
      </w: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MasterFileData</w:t>
      </w:r>
      <w:proofErr w:type="spellEnd"/>
      <w:r w:rsidRPr="001E1C64">
        <w:rPr>
          <w:rFonts w:ascii="Arial" w:eastAsia="Times New Roman" w:hAnsi="Arial" w:cs="Arial"/>
          <w:color w:val="424242"/>
          <w:kern w:val="0"/>
          <w:sz w:val="24"/>
          <w:szCs w:val="24"/>
          <w:lang w:val="en-US" w:eastAsia="de-DE"/>
          <w14:ligatures w14:val="none"/>
        </w:rPr>
        <w:t> or a dedicated </w:t>
      </w: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LumpSumDistribution</w:t>
      </w:r>
      <w:proofErr w:type="spellEnd"/>
      <w:r w:rsidRPr="001E1C64">
        <w:rPr>
          <w:rFonts w:ascii="Arial" w:eastAsia="Times New Roman" w:hAnsi="Arial" w:cs="Arial"/>
          <w:color w:val="424242"/>
          <w:kern w:val="0"/>
          <w:sz w:val="24"/>
          <w:szCs w:val="24"/>
          <w:lang w:val="en-US" w:eastAsia="de-DE"/>
          <w14:ligatures w14:val="none"/>
        </w:rPr>
        <w:t> file as the distribution source.</w:t>
      </w:r>
    </w:p>
    <w:p w14:paraId="655CE29E"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eastAsia="de-DE"/>
          <w14:ligatures w14:val="none"/>
        </w:rPr>
      </w:pPr>
      <w:r w:rsidRPr="001E1C64">
        <w:rPr>
          <w:rFonts w:ascii="Arial" w:eastAsia="Times New Roman" w:hAnsi="Arial" w:cs="Arial"/>
          <w:b/>
          <w:bCs/>
          <w:color w:val="111827"/>
          <w:kern w:val="0"/>
          <w:sz w:val="24"/>
          <w:szCs w:val="24"/>
          <w:bdr w:val="single" w:sz="2" w:space="0" w:color="E3E3E3" w:frame="1"/>
          <w:lang w:eastAsia="de-DE"/>
          <w14:ligatures w14:val="none"/>
        </w:rPr>
        <w:t xml:space="preserve">Dynamic Data </w:t>
      </w:r>
      <w:proofErr w:type="spellStart"/>
      <w:r w:rsidRPr="001E1C64">
        <w:rPr>
          <w:rFonts w:ascii="Arial" w:eastAsia="Times New Roman" w:hAnsi="Arial" w:cs="Arial"/>
          <w:b/>
          <w:bCs/>
          <w:color w:val="111827"/>
          <w:kern w:val="0"/>
          <w:sz w:val="24"/>
          <w:szCs w:val="24"/>
          <w:bdr w:val="single" w:sz="2" w:space="0" w:color="E3E3E3" w:frame="1"/>
          <w:lang w:eastAsia="de-DE"/>
          <w14:ligatures w14:val="none"/>
        </w:rPr>
        <w:t>Cleaning</w:t>
      </w:r>
      <w:proofErr w:type="spellEnd"/>
      <w:r w:rsidRPr="001E1C64">
        <w:rPr>
          <w:rFonts w:ascii="Arial" w:eastAsia="Times New Roman" w:hAnsi="Arial" w:cs="Arial"/>
          <w:b/>
          <w:bCs/>
          <w:color w:val="111827"/>
          <w:kern w:val="0"/>
          <w:sz w:val="24"/>
          <w:szCs w:val="24"/>
          <w:bdr w:val="single" w:sz="2" w:space="0" w:color="E3E3E3" w:frame="1"/>
          <w:lang w:eastAsia="de-DE"/>
          <w14:ligatures w14:val="none"/>
        </w:rPr>
        <w:t>:</w:t>
      </w:r>
    </w:p>
    <w:p w14:paraId="376EBF22"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clean_currency_from_payable</w:t>
      </w:r>
      <w:proofErr w:type="spellEnd"/>
      <w:r w:rsidRPr="001E1C64">
        <w:rPr>
          <w:rFonts w:ascii="Arial" w:eastAsia="Times New Roman" w:hAnsi="Arial" w:cs="Arial"/>
          <w:color w:val="424242"/>
          <w:kern w:val="0"/>
          <w:sz w:val="24"/>
          <w:szCs w:val="24"/>
          <w:lang w:val="en-US" w:eastAsia="de-DE"/>
          <w14:ligatures w14:val="none"/>
        </w:rPr>
        <w:t>: Automatically removes currency symbols, text, and spaces from amount columns.</w:t>
      </w:r>
    </w:p>
    <w:p w14:paraId="2EA75F3B"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lastRenderedPageBreak/>
        <w:t>filter_rows_on_load</w:t>
      </w:r>
      <w:proofErr w:type="spellEnd"/>
      <w:r w:rsidRPr="001E1C64">
        <w:rPr>
          <w:rFonts w:ascii="Arial" w:eastAsia="Times New Roman" w:hAnsi="Arial" w:cs="Arial"/>
          <w:color w:val="424242"/>
          <w:kern w:val="0"/>
          <w:sz w:val="24"/>
          <w:szCs w:val="24"/>
          <w:lang w:val="en-US" w:eastAsia="de-DE"/>
          <w14:ligatures w14:val="none"/>
        </w:rPr>
        <w:t>: Removes unwanted rows (e.g., total rows) based on configurable rules.</w:t>
      </w:r>
    </w:p>
    <w:p w14:paraId="65FD3924"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clean_isrc_hyphens</w:t>
      </w:r>
      <w:proofErr w:type="spellEnd"/>
      <w:r w:rsidRPr="001E1C64">
        <w:rPr>
          <w:rFonts w:ascii="Arial" w:eastAsia="Times New Roman" w:hAnsi="Arial" w:cs="Arial"/>
          <w:color w:val="424242"/>
          <w:kern w:val="0"/>
          <w:sz w:val="24"/>
          <w:szCs w:val="24"/>
          <w:lang w:val="en-US" w:eastAsia="de-DE"/>
          <w14:ligatures w14:val="none"/>
        </w:rPr>
        <w:t>: Removes hyphens from ISRC codes before processing.</w:t>
      </w:r>
    </w:p>
    <w:p w14:paraId="3E860AB2"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Intelligent Metadata Enrichment:</w:t>
      </w:r>
      <w:r w:rsidRPr="001E1C64">
        <w:rPr>
          <w:rFonts w:ascii="Arial" w:eastAsia="Times New Roman" w:hAnsi="Arial" w:cs="Arial"/>
          <w:color w:val="424242"/>
          <w:kern w:val="0"/>
          <w:sz w:val="24"/>
          <w:szCs w:val="24"/>
          <w:lang w:val="en-US" w:eastAsia="de-DE"/>
          <w14:ligatures w14:val="none"/>
        </w:rPr>
        <w:t> Populates missing metadata (Title/Artist) from various sources (Statement, Master File, Basis File) and can specifically force the overwriting of unclean statement metadata via the </w:t>
      </w: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get_metadata_from_royalties_basis</w:t>
      </w:r>
      <w:proofErr w:type="spellEnd"/>
      <w:r w:rsidRPr="001E1C64">
        <w:rPr>
          <w:rFonts w:ascii="Arial" w:eastAsia="Times New Roman" w:hAnsi="Arial" w:cs="Arial"/>
          <w:color w:val="424242"/>
          <w:kern w:val="0"/>
          <w:sz w:val="24"/>
          <w:szCs w:val="24"/>
          <w:lang w:val="en-US" w:eastAsia="de-DE"/>
          <w14:ligatures w14:val="none"/>
        </w:rPr>
        <w:t> flag.</w:t>
      </w:r>
    </w:p>
    <w:p w14:paraId="375528BB"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Financial Logics:</w:t>
      </w:r>
      <w:r w:rsidRPr="001E1C64">
        <w:rPr>
          <w:rFonts w:ascii="Arial" w:eastAsia="Times New Roman" w:hAnsi="Arial" w:cs="Arial"/>
          <w:color w:val="424242"/>
          <w:kern w:val="0"/>
          <w:sz w:val="24"/>
          <w:szCs w:val="24"/>
          <w:lang w:val="en-US" w:eastAsia="de-DE"/>
          <w14:ligatures w14:val="none"/>
        </w:rPr>
        <w:t> The </w:t>
      </w:r>
      <w:proofErr w:type="spellStart"/>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net_payable_factor</w:t>
      </w:r>
      <w:proofErr w:type="spellEnd"/>
      <w:r w:rsidRPr="001E1C64">
        <w:rPr>
          <w:rFonts w:ascii="Arial" w:eastAsia="Times New Roman" w:hAnsi="Arial" w:cs="Arial"/>
          <w:color w:val="424242"/>
          <w:kern w:val="0"/>
          <w:sz w:val="24"/>
          <w:szCs w:val="24"/>
          <w:lang w:val="en-US" w:eastAsia="de-DE"/>
          <w14:ligatures w14:val="none"/>
        </w:rPr>
        <w:t> enables the application of client-specific multiplication factors to net amounts.</w:t>
      </w:r>
    </w:p>
    <w:p w14:paraId="59084E25"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b/>
          <w:bCs/>
          <w:color w:val="111827"/>
          <w:kern w:val="0"/>
          <w:sz w:val="24"/>
          <w:szCs w:val="24"/>
          <w:bdr w:val="single" w:sz="2" w:space="0" w:color="E3E3E3" w:frame="1"/>
          <w:lang w:val="en-US" w:eastAsia="de-DE"/>
          <w14:ligatures w14:val="none"/>
        </w:rPr>
        <w:t>Responsive GUI with Threading:</w:t>
      </w:r>
      <w:r w:rsidRPr="001E1C64">
        <w:rPr>
          <w:rFonts w:ascii="Arial" w:eastAsia="Times New Roman" w:hAnsi="Arial" w:cs="Arial"/>
          <w:color w:val="424242"/>
          <w:kern w:val="0"/>
          <w:sz w:val="24"/>
          <w:szCs w:val="24"/>
          <w:lang w:val="en-US" w:eastAsia="de-DE"/>
          <w14:ligatures w14:val="none"/>
        </w:rPr>
        <w:t xml:space="preserve"> The </w:t>
      </w:r>
      <w:proofErr w:type="spellStart"/>
      <w:r w:rsidRPr="001E1C64">
        <w:rPr>
          <w:rFonts w:ascii="Arial" w:eastAsia="Times New Roman" w:hAnsi="Arial" w:cs="Arial"/>
          <w:color w:val="424242"/>
          <w:kern w:val="0"/>
          <w:sz w:val="24"/>
          <w:szCs w:val="24"/>
          <w:lang w:val="en-US" w:eastAsia="de-DE"/>
          <w14:ligatures w14:val="none"/>
        </w:rPr>
        <w:t>Tkinter</w:t>
      </w:r>
      <w:proofErr w:type="spellEnd"/>
      <w:r w:rsidRPr="001E1C64">
        <w:rPr>
          <w:rFonts w:ascii="Arial" w:eastAsia="Times New Roman" w:hAnsi="Arial" w:cs="Arial"/>
          <w:color w:val="424242"/>
          <w:kern w:val="0"/>
          <w:sz w:val="24"/>
          <w:szCs w:val="24"/>
          <w:lang w:val="en-US" w:eastAsia="de-DE"/>
          <w14:ligatures w14:val="none"/>
        </w:rPr>
        <w:t xml:space="preserve"> interface offloads computationally intensive processing to a separate thread. This keeps the app responsive at all times and displays progress live.</w:t>
      </w:r>
    </w:p>
    <w:p w14:paraId="2EAAD4D5" w14:textId="77777777" w:rsidR="001E1C64" w:rsidRPr="001E1C64" w:rsidRDefault="001E1C64" w:rsidP="001E1C64">
      <w:pPr>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eastAsia="de-DE"/>
          <w14:ligatures w14:val="none"/>
        </w:rPr>
      </w:pPr>
      <w:r w:rsidRPr="001E1C64">
        <w:rPr>
          <w:rFonts w:ascii="Arial" w:eastAsia="Times New Roman" w:hAnsi="Arial" w:cs="Arial"/>
          <w:b/>
          <w:bCs/>
          <w:color w:val="111827"/>
          <w:kern w:val="0"/>
          <w:sz w:val="24"/>
          <w:szCs w:val="24"/>
          <w:bdr w:val="single" w:sz="2" w:space="0" w:color="E3E3E3" w:frame="1"/>
          <w:lang w:eastAsia="de-DE"/>
          <w14:ligatures w14:val="none"/>
        </w:rPr>
        <w:t>Professional Outputs:</w:t>
      </w:r>
    </w:p>
    <w:p w14:paraId="6AB3BEBA"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All generated CSV files are correctly encoded with </w:t>
      </w:r>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encoding='utf-8-sig'</w:t>
      </w:r>
      <w:r w:rsidRPr="001E1C64">
        <w:rPr>
          <w:rFonts w:ascii="Arial" w:eastAsia="Times New Roman" w:hAnsi="Arial" w:cs="Arial"/>
          <w:color w:val="424242"/>
          <w:kern w:val="0"/>
          <w:sz w:val="24"/>
          <w:szCs w:val="24"/>
          <w:lang w:val="en-US" w:eastAsia="de-DE"/>
          <w14:ligatures w14:val="none"/>
        </w:rPr>
        <w:t>, ensuring special characters (ä, ö, ü, é) are displayed without errors in Excel.</w:t>
      </w:r>
    </w:p>
    <w:p w14:paraId="0CA8CD20" w14:textId="77777777" w:rsidR="001E1C64" w:rsidRPr="001E1C64" w:rsidRDefault="001E1C64" w:rsidP="001E1C64">
      <w:pPr>
        <w:numPr>
          <w:ilvl w:val="2"/>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Arial" w:eastAsia="Times New Roman" w:hAnsi="Arial" w:cs="Arial"/>
          <w:color w:val="424242"/>
          <w:kern w:val="0"/>
          <w:sz w:val="24"/>
          <w:szCs w:val="24"/>
          <w:lang w:val="en-US" w:eastAsia="de-DE"/>
          <w14:ligatures w14:val="none"/>
        </w:rPr>
      </w:pPr>
      <w:r w:rsidRPr="001E1C64">
        <w:rPr>
          <w:rFonts w:ascii="Arial" w:eastAsia="Times New Roman" w:hAnsi="Arial" w:cs="Arial"/>
          <w:color w:val="424242"/>
          <w:kern w:val="0"/>
          <w:sz w:val="24"/>
          <w:szCs w:val="24"/>
          <w:lang w:val="en-US" w:eastAsia="de-DE"/>
          <w14:ligatures w14:val="none"/>
        </w:rPr>
        <w:t>The currency is defined per client in </w:t>
      </w:r>
      <w:r w:rsidRPr="001E1C64">
        <w:rPr>
          <w:rFonts w:ascii="Consolas" w:eastAsia="Times New Roman" w:hAnsi="Consolas" w:cs="Courier New"/>
          <w:b/>
          <w:bCs/>
          <w:color w:val="111827"/>
          <w:kern w:val="0"/>
          <w:sz w:val="21"/>
          <w:szCs w:val="21"/>
          <w:bdr w:val="single" w:sz="2" w:space="0" w:color="E3E3E3" w:frame="1"/>
          <w:shd w:val="clear" w:color="auto" w:fill="E3E3E3"/>
          <w:lang w:val="en-US" w:eastAsia="de-DE"/>
          <w14:ligatures w14:val="none"/>
        </w:rPr>
        <w:t>CLIENT_CONFIG</w:t>
      </w:r>
      <w:r w:rsidRPr="001E1C64">
        <w:rPr>
          <w:rFonts w:ascii="Arial" w:eastAsia="Times New Roman" w:hAnsi="Arial" w:cs="Arial"/>
          <w:color w:val="424242"/>
          <w:kern w:val="0"/>
          <w:sz w:val="24"/>
          <w:szCs w:val="24"/>
          <w:lang w:val="en-US" w:eastAsia="de-DE"/>
          <w14:ligatures w14:val="none"/>
        </w:rPr>
        <w:t xml:space="preserve"> and automatically inserted into the column headers of all financial reports (e.g., </w:t>
      </w:r>
      <w:proofErr w:type="spellStart"/>
      <w:r w:rsidRPr="001E1C64">
        <w:rPr>
          <w:rFonts w:ascii="Arial" w:eastAsia="Times New Roman" w:hAnsi="Arial" w:cs="Arial"/>
          <w:color w:val="424242"/>
          <w:kern w:val="0"/>
          <w:sz w:val="24"/>
          <w:szCs w:val="24"/>
          <w:lang w:val="en-US" w:eastAsia="de-DE"/>
          <w14:ligatures w14:val="none"/>
        </w:rPr>
        <w:t>Total_Net_Payable</w:t>
      </w:r>
      <w:proofErr w:type="spellEnd"/>
      <w:r w:rsidRPr="001E1C64">
        <w:rPr>
          <w:rFonts w:ascii="Arial" w:eastAsia="Times New Roman" w:hAnsi="Arial" w:cs="Arial"/>
          <w:color w:val="424242"/>
          <w:kern w:val="0"/>
          <w:sz w:val="24"/>
          <w:szCs w:val="24"/>
          <w:lang w:val="en-US" w:eastAsia="de-DE"/>
          <w14:ligatures w14:val="none"/>
        </w:rPr>
        <w:t xml:space="preserve"> (EUR)).</w:t>
      </w:r>
    </w:p>
    <w:p w14:paraId="027D4C67" w14:textId="77777777" w:rsidR="00B30802" w:rsidRPr="001E1C64" w:rsidRDefault="00B30802">
      <w:pPr>
        <w:rPr>
          <w:lang w:val="en-US"/>
        </w:rPr>
      </w:pPr>
    </w:p>
    <w:sectPr w:rsidR="00B30802" w:rsidRPr="001E1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66DE5"/>
    <w:multiLevelType w:val="multilevel"/>
    <w:tmpl w:val="7436A6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1241467">
    <w:abstractNumId w:val="0"/>
  </w:num>
  <w:num w:numId="2" w16cid:durableId="661931798">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64"/>
    <w:rsid w:val="001E1C64"/>
    <w:rsid w:val="002019E1"/>
    <w:rsid w:val="002863E2"/>
    <w:rsid w:val="00351090"/>
    <w:rsid w:val="009336AD"/>
    <w:rsid w:val="00B30802"/>
    <w:rsid w:val="00E752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641B"/>
  <w15:chartTrackingRefBased/>
  <w15:docId w15:val="{D1C9E6ED-B978-4E3A-93B3-9509F3C7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E1C6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1E1C6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E1C64"/>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1E1C64"/>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1E1C64"/>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1E1C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E1C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E1C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E1C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E1C64"/>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1E1C64"/>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1E1C64"/>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1E1C64"/>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1E1C64"/>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1E1C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E1C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E1C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E1C64"/>
    <w:rPr>
      <w:rFonts w:eastAsiaTheme="majorEastAsia" w:cstheme="majorBidi"/>
      <w:color w:val="272727" w:themeColor="text1" w:themeTint="D8"/>
    </w:rPr>
  </w:style>
  <w:style w:type="paragraph" w:styleId="Titel">
    <w:name w:val="Title"/>
    <w:basedOn w:val="Standard"/>
    <w:next w:val="Standard"/>
    <w:link w:val="TitelZchn"/>
    <w:uiPriority w:val="10"/>
    <w:qFormat/>
    <w:rsid w:val="001E1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1C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E1C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E1C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E1C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E1C64"/>
    <w:rPr>
      <w:i/>
      <w:iCs/>
      <w:color w:val="404040" w:themeColor="text1" w:themeTint="BF"/>
    </w:rPr>
  </w:style>
  <w:style w:type="paragraph" w:styleId="Listenabsatz">
    <w:name w:val="List Paragraph"/>
    <w:basedOn w:val="Standard"/>
    <w:uiPriority w:val="34"/>
    <w:qFormat/>
    <w:rsid w:val="001E1C64"/>
    <w:pPr>
      <w:ind w:left="720"/>
      <w:contextualSpacing/>
    </w:pPr>
  </w:style>
  <w:style w:type="character" w:styleId="IntensiveHervorhebung">
    <w:name w:val="Intense Emphasis"/>
    <w:basedOn w:val="Absatz-Standardschriftart"/>
    <w:uiPriority w:val="21"/>
    <w:qFormat/>
    <w:rsid w:val="001E1C64"/>
    <w:rPr>
      <w:i/>
      <w:iCs/>
      <w:color w:val="2E74B5" w:themeColor="accent1" w:themeShade="BF"/>
    </w:rPr>
  </w:style>
  <w:style w:type="paragraph" w:styleId="IntensivesZitat">
    <w:name w:val="Intense Quote"/>
    <w:basedOn w:val="Standard"/>
    <w:next w:val="Standard"/>
    <w:link w:val="IntensivesZitatZchn"/>
    <w:uiPriority w:val="30"/>
    <w:qFormat/>
    <w:rsid w:val="001E1C6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1E1C64"/>
    <w:rPr>
      <w:i/>
      <w:iCs/>
      <w:color w:val="2E74B5" w:themeColor="accent1" w:themeShade="BF"/>
    </w:rPr>
  </w:style>
  <w:style w:type="character" w:styleId="IntensiverVerweis">
    <w:name w:val="Intense Reference"/>
    <w:basedOn w:val="Absatz-Standardschriftart"/>
    <w:uiPriority w:val="32"/>
    <w:qFormat/>
    <w:rsid w:val="001E1C64"/>
    <w:rPr>
      <w:b/>
      <w:bCs/>
      <w:smallCaps/>
      <w:color w:val="2E74B5" w:themeColor="accent1" w:themeShade="BF"/>
      <w:spacing w:val="5"/>
    </w:rPr>
  </w:style>
  <w:style w:type="paragraph" w:customStyle="1" w:styleId="mb-2">
    <w:name w:val="mb-2"/>
    <w:basedOn w:val="Standard"/>
    <w:rsid w:val="001E1C6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1E1C64"/>
    <w:rPr>
      <w:b/>
      <w:bCs/>
    </w:rPr>
  </w:style>
  <w:style w:type="character" w:styleId="HTMLCode">
    <w:name w:val="HTML Code"/>
    <w:basedOn w:val="Absatz-Standardschriftart"/>
    <w:uiPriority w:val="99"/>
    <w:semiHidden/>
    <w:unhideWhenUsed/>
    <w:rsid w:val="001E1C6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2801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 Rippe</dc:creator>
  <cp:keywords/>
  <dc:description/>
  <cp:lastModifiedBy>Lutz Rippe</cp:lastModifiedBy>
  <cp:revision>1</cp:revision>
  <dcterms:created xsi:type="dcterms:W3CDTF">2026-06-03T08:34:00Z</dcterms:created>
  <dcterms:modified xsi:type="dcterms:W3CDTF">2026-06-03T08:35:00Z</dcterms:modified>
</cp:coreProperties>
</file>